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</w:pPr>
      <w:r>
        <w:rPr>
          <w:rFonts w:hint="eastAsia"/>
          <w:b/>
          <w:sz w:val="28"/>
        </w:rPr>
        <w:t>招标公告附表</w:t>
      </w:r>
    </w:p>
    <w:tbl>
      <w:tblPr>
        <w:tblStyle w:val="3"/>
        <w:tblW w:w="13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634"/>
        <w:gridCol w:w="1575"/>
        <w:gridCol w:w="690"/>
        <w:gridCol w:w="1065"/>
        <w:gridCol w:w="945"/>
        <w:gridCol w:w="6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包件号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包件数量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招标人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投标人资格条件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FZ01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桥墩防撞设施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中国铁路设计集团有限公司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投标人须为在中华人民共和国境内依法注册、具有法人资格的制造商。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2.投标人须具有特种工程(结构补强)专业承包资质或钢结构工程专业承包二级及以上资质，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建筑施工企业安全生产许可证。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3. 投标人须至少提供一份铁路、公路等建设项目近五年（2021年3月份以来，以采购合同签订时间为准）桥墩防撞设施供货业绩，同时提供相应的合同文件。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4.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履约信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誉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要求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4.1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投标人财产未被接管或冻结，企业未处于禁止或取消投标状态。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4.2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投标人不得存在的其他情形：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（1）国家企业信用信息公示系统中被列入严重违法失信企业名单；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（2）自投标文件递交之日起前3年，企业或企业法定代表人在“中国裁判文书网”有人民法院生效判决、裁定认定的行贿犯罪记录的；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（3）本次招标不接受通过“信用中国”网站查询相关主体为失信被执行人的投标人投标。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jUwMDlhNjhiNzQ2NWRkMDRhZDFiYmI1YmM3MGQifQ=="/>
  </w:docVars>
  <w:rsids>
    <w:rsidRoot w:val="00000000"/>
    <w:rsid w:val="5F8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2026-02-25T01:47:38Z</dcterms:created>
  <dc:creator>13788</dc:creator>
  <cp:lastModifiedBy>王朋辉</cp:lastModifiedBy>
  <dcterms:modified xsi:type="dcterms:W3CDTF">2026-02-25T01:48:37Z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4C6B9CE1D2A44590BFA5E085376A92FF_12</vt:lpwstr>
  </property>
</Properties>
</file>